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333333"/>
          <w:spacing w:val="0"/>
          <w:sz w:val="24"/>
          <w:szCs w:val="24"/>
        </w:rPr>
      </w:pPr>
      <w:r>
        <w:rPr>
          <w:rFonts w:hint="eastAsia" w:ascii="Helvetica" w:hAnsi="Helvetica" w:cs="Helvetica"/>
          <w:i w:val="0"/>
          <w:caps w:val="0"/>
          <w:color w:val="333333"/>
          <w:spacing w:val="0"/>
          <w:sz w:val="24"/>
          <w:szCs w:val="24"/>
          <w:shd w:val="clear" w:fill="FFFFFF"/>
          <w:lang w:eastAsia="zh-CN"/>
        </w:rPr>
        <w:t>国融医养</w:t>
      </w:r>
      <w:r>
        <w:rPr>
          <w:rFonts w:hint="default" w:ascii="Helvetica" w:hAnsi="Helvetica" w:eastAsia="Helvetica" w:cs="Helvetica"/>
          <w:i w:val="0"/>
          <w:caps w:val="0"/>
          <w:color w:val="333333"/>
          <w:spacing w:val="0"/>
          <w:sz w:val="24"/>
          <w:szCs w:val="24"/>
          <w:shd w:val="clear" w:fill="FFFFFF"/>
        </w:rPr>
        <w:t>开放平台商品质量不合格细则</w:t>
      </w:r>
    </w:p>
    <w:p>
      <w:pPr>
        <w:rPr>
          <w:rFonts w:hint="eastAsia"/>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ascii="等线" w:hAnsi="等线" w:eastAsia="等线" w:cs="等线"/>
          <w:i w:val="0"/>
          <w:caps w:val="0"/>
          <w:color w:val="000000"/>
          <w:spacing w:val="0"/>
          <w:sz w:val="21"/>
          <w:szCs w:val="21"/>
        </w:rPr>
      </w:pPr>
      <w:r>
        <w:rPr>
          <w:rFonts w:ascii="sans-serif" w:hAnsi="sans-serif" w:eastAsia="sans-serif" w:cs="sans-serif"/>
          <w:i w:val="0"/>
          <w:caps w:val="0"/>
          <w:color w:val="000000"/>
          <w:spacing w:val="0"/>
          <w:sz w:val="20"/>
          <w:szCs w:val="20"/>
          <w:shd w:val="clear" w:fill="FFFFFF"/>
        </w:rPr>
        <w:t>【违规情形】商家出售或发布的商品质量和信息不符合国家标准，行业标准及平台相关规则要求。违规情形包括但不限于：国家监管部门抽检不合格、</w:t>
      </w:r>
      <w:r>
        <w:rPr>
          <w:rFonts w:hint="eastAsia" w:ascii="sans-serif" w:hAnsi="sans-serif" w:eastAsia="宋体" w:cs="sans-serif"/>
          <w:i w:val="0"/>
          <w:caps w:val="0"/>
          <w:color w:val="000000"/>
          <w:spacing w:val="0"/>
          <w:sz w:val="20"/>
          <w:szCs w:val="20"/>
          <w:shd w:val="clear" w:fill="FFFFFF"/>
          <w:lang w:eastAsia="zh-CN"/>
        </w:rPr>
        <w:t>国融医养</w:t>
      </w:r>
      <w:r>
        <w:rPr>
          <w:rFonts w:ascii="sans-serif" w:hAnsi="sans-serif" w:eastAsia="sans-serif" w:cs="sans-serif"/>
          <w:i w:val="0"/>
          <w:caps w:val="0"/>
          <w:color w:val="000000"/>
          <w:spacing w:val="0"/>
          <w:sz w:val="20"/>
          <w:szCs w:val="20"/>
          <w:shd w:val="clear" w:fill="FFFFFF"/>
        </w:rPr>
        <w:t>平台抽检不合格、消费者投诉等。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【处理措施】</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有权视违规程度采取包括但不限于扣分、下架违规商品、删除违规商品、限制提报营销活动、限制创建商品等处理措施。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【具体处理措施】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平台对于发现的质量不合格商品予以下架违规商品处理，同时将根据“商品质量不合格违规程度划分标准”将违规程度划分为特别严重、严重、轻微三个等级，并有权依据 “商品质量不合格处理标准”对商家进行违规处理。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商品质量不合格违规程度划分标准如下：</w:t>
      </w:r>
    </w:p>
    <w:tbl>
      <w:tblPr>
        <w:tblStyle w:val="6"/>
        <w:tblpPr w:vertAnchor="text" w:tblpXSpec="left"/>
        <w:tblW w:w="0" w:type="auto"/>
        <w:tblInd w:w="0" w:type="dxa"/>
        <w:shd w:val="clear" w:color="auto" w:fill="FFFFFF"/>
        <w:tblLayout w:type="autofit"/>
        <w:tblCellMar>
          <w:top w:w="0" w:type="dxa"/>
          <w:left w:w="0" w:type="dxa"/>
          <w:bottom w:w="0" w:type="dxa"/>
          <w:right w:w="0" w:type="dxa"/>
        </w:tblCellMar>
      </w:tblPr>
      <w:tblGrid>
        <w:gridCol w:w="1816"/>
        <w:gridCol w:w="10216"/>
      </w:tblGrid>
      <w:tr>
        <w:tblPrEx>
          <w:shd w:val="clear" w:color="auto" w:fill="FFFFFF"/>
          <w:tblCellMar>
            <w:top w:w="0" w:type="dxa"/>
            <w:left w:w="0" w:type="dxa"/>
            <w:bottom w:w="0" w:type="dxa"/>
            <w:right w:w="0" w:type="dxa"/>
          </w:tblCellMar>
        </w:tblPrEx>
        <w:trPr>
          <w:trHeight w:val="415" w:hRule="atLeast"/>
        </w:trPr>
        <w:tc>
          <w:tcPr>
            <w:tcW w:w="0" w:type="auto"/>
            <w:tcBorders>
              <w:top w:val="single" w:color="000000" w:sz="8" w:space="0"/>
              <w:left w:val="single" w:color="000000" w:sz="8" w:space="0"/>
              <w:bottom w:val="single" w:color="000000" w:sz="8" w:space="0"/>
              <w:right w:val="single" w:color="000000" w:sz="8" w:space="0"/>
            </w:tcBorders>
            <w:shd w:val="clear" w:color="auto" w:fill="C00000"/>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违规程度</w:t>
            </w:r>
          </w:p>
        </w:tc>
        <w:tc>
          <w:tcPr>
            <w:tcW w:w="0" w:type="auto"/>
            <w:tcBorders>
              <w:top w:val="single" w:color="000000" w:sz="8" w:space="0"/>
              <w:left w:val="nil"/>
              <w:bottom w:val="single" w:color="000000" w:sz="8" w:space="0"/>
              <w:right w:val="single" w:color="000000" w:sz="8" w:space="0"/>
            </w:tcBorders>
            <w:shd w:val="clear" w:color="auto" w:fill="C00000"/>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情形</w:t>
            </w:r>
          </w:p>
        </w:tc>
      </w:tr>
      <w:tr>
        <w:tblPrEx>
          <w:tblCellMar>
            <w:top w:w="0" w:type="dxa"/>
            <w:left w:w="0" w:type="dxa"/>
            <w:bottom w:w="0" w:type="dxa"/>
            <w:right w:w="0" w:type="dxa"/>
          </w:tblCellMar>
        </w:tblPrEx>
        <w:trPr>
          <w:trHeight w:val="415" w:hRule="atLeast"/>
        </w:trPr>
        <w:tc>
          <w:tcPr>
            <w:tcW w:w="0" w:type="auto"/>
            <w:vMerge w:val="restart"/>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违规程度特别严重</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商品的不合格项目涉及危害人身安全，如电气安全危险、化学安全危险、机械安全危险风险等。</w:t>
            </w:r>
          </w:p>
        </w:tc>
      </w:tr>
      <w:tr>
        <w:tblPrEx>
          <w:tblCellMar>
            <w:top w:w="0" w:type="dxa"/>
            <w:left w:w="0" w:type="dxa"/>
            <w:bottom w:w="0" w:type="dxa"/>
            <w:right w:w="0" w:type="dxa"/>
          </w:tblCellMar>
        </w:tblPrEx>
        <w:trPr>
          <w:trHeight w:val="415"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假冒材质成分，是指消费者收到商品的包装、标志标识等信息注明的内容与商品实际材质成分完全不符。</w:t>
            </w:r>
          </w:p>
        </w:tc>
      </w:tr>
      <w:tr>
        <w:tblPrEx>
          <w:tblCellMar>
            <w:top w:w="0" w:type="dxa"/>
            <w:left w:w="0" w:type="dxa"/>
            <w:bottom w:w="0" w:type="dxa"/>
            <w:right w:w="0" w:type="dxa"/>
          </w:tblCellMar>
        </w:tblPrEx>
        <w:trPr>
          <w:trHeight w:val="821"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标识标志不合格，如限期使用产品的生产日期或有效期出现虚假标注；如缺少中文标明的产品名称、生产厂厂名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、厂址、产品质量检验合格证明、生产日期和安全使用期或者失效日期（限期使用的产品）等2项及以上等。</w:t>
            </w:r>
          </w:p>
        </w:tc>
      </w:tr>
      <w:tr>
        <w:tblPrEx>
          <w:tblCellMar>
            <w:top w:w="0" w:type="dxa"/>
            <w:left w:w="0" w:type="dxa"/>
            <w:bottom w:w="0" w:type="dxa"/>
            <w:right w:w="0" w:type="dxa"/>
          </w:tblCellMar>
        </w:tblPrEx>
        <w:trPr>
          <w:trHeight w:val="766"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特定商品材质不合格，是指贵金属类主体材质及纯度不符，纯度与标称差＞3%，或经人工处理过的珠宝玉石冒充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天然珠宝玉石（是指非传统的、尚不被人们广泛接受的优化处理方法，例如对天然宝石进行改色、充胶等）。</w:t>
            </w:r>
          </w:p>
        </w:tc>
      </w:tr>
      <w:tr>
        <w:tblPrEx>
          <w:tblCellMar>
            <w:top w:w="0" w:type="dxa"/>
            <w:left w:w="0" w:type="dxa"/>
            <w:bottom w:w="0" w:type="dxa"/>
            <w:right w:w="0" w:type="dxa"/>
          </w:tblCellMar>
        </w:tblPrEx>
        <w:trPr>
          <w:trHeight w:val="415" w:hRule="atLeast"/>
        </w:trPr>
        <w:tc>
          <w:tcPr>
            <w:tcW w:w="0" w:type="auto"/>
            <w:vMerge w:val="restart"/>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违规程度严重</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不合格项目未涉及危害人身安全，如产品性能指标、功效、理化指标等。</w:t>
            </w:r>
          </w:p>
        </w:tc>
      </w:tr>
      <w:tr>
        <w:tblPrEx>
          <w:tblCellMar>
            <w:top w:w="0" w:type="dxa"/>
            <w:left w:w="0" w:type="dxa"/>
            <w:bottom w:w="0" w:type="dxa"/>
            <w:right w:w="0" w:type="dxa"/>
          </w:tblCellMar>
        </w:tblPrEx>
        <w:trPr>
          <w:trHeight w:val="72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标识标志不合格，如缺少中文标明的产品名称、生产厂厂名、厂址、产品质量检验合格证明、生产日期和安全使用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期或者失效日期（限期使用的产品）等其中1项。</w:t>
            </w:r>
          </w:p>
        </w:tc>
      </w:tr>
      <w:tr>
        <w:tblPrEx>
          <w:tblCellMar>
            <w:top w:w="0" w:type="dxa"/>
            <w:left w:w="0" w:type="dxa"/>
            <w:bottom w:w="0" w:type="dxa"/>
            <w:right w:w="0" w:type="dxa"/>
          </w:tblCellMar>
        </w:tblPrEx>
        <w:trPr>
          <w:trHeight w:val="710"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商品材质不合格，商品实际材质成分不符合有关国家标准及产品标准的行为（含特定商品材质不合格——贵金属类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主体材质及纯度不符，纯度与标称差≤3%）。</w:t>
            </w:r>
          </w:p>
        </w:tc>
      </w:tr>
      <w:tr>
        <w:tblPrEx>
          <w:tblCellMar>
            <w:top w:w="0" w:type="dxa"/>
            <w:left w:w="0" w:type="dxa"/>
            <w:bottom w:w="0" w:type="dxa"/>
            <w:right w:w="0" w:type="dxa"/>
          </w:tblCellMar>
        </w:tblPrEx>
        <w:trPr>
          <w:trHeight w:val="415" w:hRule="atLeast"/>
        </w:trPr>
        <w:tc>
          <w:tcPr>
            <w:tcW w:w="0" w:type="auto"/>
            <w:vMerge w:val="restart"/>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违规程度轻微</w:t>
            </w: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外观/感官质量不合格，是指商品外观等不符合国家相关标准规定。</w:t>
            </w:r>
          </w:p>
        </w:tc>
      </w:tr>
      <w:tr>
        <w:tblPrEx>
          <w:tblCellMar>
            <w:top w:w="0" w:type="dxa"/>
            <w:left w:w="0" w:type="dxa"/>
            <w:bottom w:w="0" w:type="dxa"/>
            <w:right w:w="0" w:type="dxa"/>
          </w:tblCellMar>
        </w:tblPrEx>
        <w:trPr>
          <w:trHeight w:val="415" w:hRule="atLeast"/>
        </w:trPr>
        <w:tc>
          <w:tcPr>
            <w:tcW w:w="0" w:type="auto"/>
            <w:vMerge w:val="continue"/>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特别严重、严重类缺陷等级规定以外的其他商品不合格问题且违规程度轻微的情形。</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sans-serif" w:hAnsi="sans-serif" w:eastAsia="sans-serif" w:cs="sans-serif"/>
          <w:i w:val="0"/>
          <w:caps w:val="0"/>
          <w:color w:val="000000"/>
          <w:spacing w:val="0"/>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sans-serif" w:hAnsi="sans-serif" w:eastAsia="sans-serif" w:cs="sans-serif"/>
          <w:i w:val="0"/>
          <w:caps w:val="0"/>
          <w:color w:val="000000"/>
          <w:spacing w:val="0"/>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sans-serif" w:hAnsi="sans-serif" w:eastAsia="sans-serif" w:cs="sans-serif"/>
          <w:i w:val="0"/>
          <w:caps w:val="0"/>
          <w:color w:val="000000"/>
          <w:spacing w:val="0"/>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商品质量不合格处理标准如下：</w:t>
      </w:r>
    </w:p>
    <w:tbl>
      <w:tblPr>
        <w:tblStyle w:val="6"/>
        <w:tblW w:w="14700" w:type="dxa"/>
        <w:tblInd w:w="0" w:type="dxa"/>
        <w:shd w:val="clear" w:color="auto" w:fill="FFFFFF"/>
        <w:tblLayout w:type="autofit"/>
        <w:tblCellMar>
          <w:top w:w="0" w:type="dxa"/>
          <w:left w:w="0" w:type="dxa"/>
          <w:bottom w:w="0" w:type="dxa"/>
          <w:right w:w="0" w:type="dxa"/>
        </w:tblCellMar>
      </w:tblPr>
      <w:tblGrid>
        <w:gridCol w:w="2550"/>
        <w:gridCol w:w="2850"/>
        <w:gridCol w:w="3000"/>
        <w:gridCol w:w="3000"/>
        <w:gridCol w:w="3300"/>
      </w:tblGrid>
      <w:tr>
        <w:tblPrEx>
          <w:shd w:val="clear" w:color="auto" w:fill="FFFFFF"/>
          <w:tblCellMar>
            <w:top w:w="0" w:type="dxa"/>
            <w:left w:w="0" w:type="dxa"/>
            <w:bottom w:w="0" w:type="dxa"/>
            <w:right w:w="0" w:type="dxa"/>
          </w:tblCellMar>
        </w:tblPrEx>
        <w:trPr>
          <w:trHeight w:val="550" w:hRule="atLeast"/>
        </w:trPr>
        <w:tc>
          <w:tcPr>
            <w:tcW w:w="850" w:type="pct"/>
            <w:vMerge w:val="restart"/>
            <w:tcBorders>
              <w:top w:val="single" w:color="auto" w:sz="8" w:space="0"/>
              <w:left w:val="single" w:color="auto" w:sz="8" w:space="0"/>
              <w:bottom w:val="single" w:color="auto" w:sz="8" w:space="0"/>
              <w:right w:val="single" w:color="auto" w:sz="8" w:space="0"/>
            </w:tcBorders>
            <w:shd w:val="clear" w:color="auto" w:fill="C00000"/>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违规程度</w:t>
            </w:r>
          </w:p>
        </w:tc>
        <w:tc>
          <w:tcPr>
            <w:tcW w:w="2950" w:type="pct"/>
            <w:gridSpan w:val="3"/>
            <w:tcBorders>
              <w:top w:val="single" w:color="auto" w:sz="8" w:space="0"/>
              <w:left w:val="nil"/>
              <w:bottom w:val="single" w:color="auto" w:sz="8" w:space="0"/>
              <w:right w:val="single" w:color="auto" w:sz="8" w:space="0"/>
            </w:tcBorders>
            <w:shd w:val="clear" w:color="auto" w:fill="C00000"/>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违规处理措施</w:t>
            </w:r>
          </w:p>
        </w:tc>
        <w:tc>
          <w:tcPr>
            <w:tcW w:w="1100" w:type="pct"/>
            <w:vMerge w:val="restart"/>
            <w:tcBorders>
              <w:top w:val="single" w:color="auto" w:sz="8" w:space="0"/>
              <w:left w:val="nil"/>
              <w:bottom w:val="single" w:color="auto" w:sz="8" w:space="0"/>
              <w:right w:val="single" w:color="auto" w:sz="8" w:space="0"/>
            </w:tcBorders>
            <w:shd w:val="clear" w:color="auto" w:fill="C00000"/>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违规商品</w:t>
            </w:r>
          </w:p>
        </w:tc>
      </w:tr>
      <w:tr>
        <w:tblPrEx>
          <w:tblCellMar>
            <w:top w:w="0" w:type="dxa"/>
            <w:left w:w="0" w:type="dxa"/>
            <w:bottom w:w="0" w:type="dxa"/>
            <w:right w:w="0" w:type="dxa"/>
          </w:tblCellMar>
        </w:tblPrEx>
        <w:trPr>
          <w:trHeight w:val="550" w:hRule="atLeast"/>
        </w:trPr>
        <w:tc>
          <w:tcPr>
            <w:tcW w:w="850" w:type="pct"/>
            <w:vMerge w:val="continue"/>
            <w:tcBorders>
              <w:top w:val="single" w:color="auto" w:sz="8" w:space="0"/>
              <w:left w:val="single" w:color="auto" w:sz="8" w:space="0"/>
              <w:bottom w:val="single" w:color="auto" w:sz="8" w:space="0"/>
              <w:right w:val="single" w:color="auto" w:sz="8" w:space="0"/>
            </w:tcBorders>
            <w:shd w:val="clear" w:color="auto" w:fill="C00000"/>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950" w:type="pct"/>
            <w:tcBorders>
              <w:top w:val="nil"/>
              <w:left w:val="nil"/>
              <w:bottom w:val="single" w:color="auto" w:sz="8" w:space="0"/>
              <w:right w:val="single" w:color="auto" w:sz="8" w:space="0"/>
            </w:tcBorders>
            <w:shd w:val="clear" w:color="auto" w:fill="C00000"/>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第一次</w:t>
            </w:r>
          </w:p>
        </w:tc>
        <w:tc>
          <w:tcPr>
            <w:tcW w:w="1000" w:type="pct"/>
            <w:tcBorders>
              <w:top w:val="nil"/>
              <w:left w:val="nil"/>
              <w:bottom w:val="single" w:color="auto" w:sz="8" w:space="0"/>
              <w:right w:val="single" w:color="auto" w:sz="8" w:space="0"/>
            </w:tcBorders>
            <w:shd w:val="clear" w:color="auto" w:fill="C00000"/>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第二次</w:t>
            </w:r>
          </w:p>
        </w:tc>
        <w:tc>
          <w:tcPr>
            <w:tcW w:w="1000" w:type="pct"/>
            <w:tcBorders>
              <w:top w:val="nil"/>
              <w:left w:val="nil"/>
              <w:bottom w:val="single" w:color="auto" w:sz="8" w:space="0"/>
              <w:right w:val="single" w:color="auto" w:sz="8" w:space="0"/>
            </w:tcBorders>
            <w:shd w:val="clear" w:color="auto" w:fill="C00000"/>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年度累计两次以上</w:t>
            </w:r>
          </w:p>
        </w:tc>
        <w:tc>
          <w:tcPr>
            <w:tcW w:w="1100" w:type="pct"/>
            <w:vMerge w:val="continue"/>
            <w:tcBorders>
              <w:top w:val="single" w:color="auto" w:sz="8" w:space="0"/>
              <w:left w:val="nil"/>
              <w:bottom w:val="single" w:color="auto" w:sz="8" w:space="0"/>
              <w:right w:val="single" w:color="auto" w:sz="8" w:space="0"/>
            </w:tcBorders>
            <w:shd w:val="clear" w:color="auto" w:fill="C00000"/>
            <w:tcMar>
              <w:left w:w="108" w:type="dxa"/>
              <w:right w:w="108" w:type="dxa"/>
            </w:tcMar>
            <w:vAlign w:val="center"/>
          </w:tcPr>
          <w:p>
            <w:pPr>
              <w:rPr>
                <w:rFonts w:hint="default" w:ascii="Helvetica" w:hAnsi="Helvetica" w:eastAsia="Helvetica" w:cs="Helvetica"/>
                <w:i w:val="0"/>
                <w:caps w:val="0"/>
                <w:color w:val="000000"/>
                <w:spacing w:val="0"/>
                <w:sz w:val="18"/>
                <w:szCs w:val="18"/>
              </w:rPr>
            </w:pPr>
          </w:p>
        </w:tc>
      </w:tr>
      <w:tr>
        <w:tblPrEx>
          <w:tblCellMar>
            <w:top w:w="0" w:type="dxa"/>
            <w:left w:w="0" w:type="dxa"/>
            <w:bottom w:w="0" w:type="dxa"/>
            <w:right w:w="0" w:type="dxa"/>
          </w:tblCellMar>
        </w:tblPrEx>
        <w:trPr>
          <w:trHeight w:val="550" w:hRule="atLeast"/>
        </w:trPr>
        <w:tc>
          <w:tcPr>
            <w:tcW w:w="850"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违规程度特别严重</w:t>
            </w:r>
          </w:p>
        </w:tc>
        <w:tc>
          <w:tcPr>
            <w:tcW w:w="95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扣15分</w:t>
            </w:r>
          </w:p>
        </w:tc>
        <w:tc>
          <w:tcPr>
            <w:tcW w:w="100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扣25分</w:t>
            </w:r>
          </w:p>
        </w:tc>
        <w:tc>
          <w:tcPr>
            <w:tcW w:w="100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扣100分并执行店铺清退</w:t>
            </w:r>
          </w:p>
        </w:tc>
        <w:tc>
          <w:tcPr>
            <w:tcW w:w="1100" w:type="pct"/>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首次下架违规商品，二次删除违规商品</w:t>
            </w:r>
          </w:p>
        </w:tc>
      </w:tr>
      <w:tr>
        <w:tblPrEx>
          <w:tblCellMar>
            <w:top w:w="0" w:type="dxa"/>
            <w:left w:w="0" w:type="dxa"/>
            <w:bottom w:w="0" w:type="dxa"/>
            <w:right w:w="0" w:type="dxa"/>
          </w:tblCellMar>
        </w:tblPrEx>
        <w:trPr>
          <w:trHeight w:val="550" w:hRule="atLeast"/>
        </w:trPr>
        <w:tc>
          <w:tcPr>
            <w:tcW w:w="850"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违规程度严重</w:t>
            </w:r>
          </w:p>
        </w:tc>
        <w:tc>
          <w:tcPr>
            <w:tcW w:w="95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扣5分</w:t>
            </w:r>
          </w:p>
        </w:tc>
        <w:tc>
          <w:tcPr>
            <w:tcW w:w="100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扣15分</w:t>
            </w:r>
          </w:p>
        </w:tc>
        <w:tc>
          <w:tcPr>
            <w:tcW w:w="100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扣50分</w:t>
            </w:r>
          </w:p>
        </w:tc>
        <w:tc>
          <w:tcPr>
            <w:tcW w:w="1100" w:type="pct"/>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r>
      <w:tr>
        <w:tblPrEx>
          <w:tblCellMar>
            <w:top w:w="0" w:type="dxa"/>
            <w:left w:w="0" w:type="dxa"/>
            <w:bottom w:w="0" w:type="dxa"/>
            <w:right w:w="0" w:type="dxa"/>
          </w:tblCellMar>
        </w:tblPrEx>
        <w:tc>
          <w:tcPr>
            <w:tcW w:w="850"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违规程度轻微</w:t>
            </w:r>
          </w:p>
        </w:tc>
        <w:tc>
          <w:tcPr>
            <w:tcW w:w="95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警告</w:t>
            </w:r>
          </w:p>
        </w:tc>
        <w:tc>
          <w:tcPr>
            <w:tcW w:w="100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扣5分</w:t>
            </w:r>
          </w:p>
        </w:tc>
        <w:tc>
          <w:tcPr>
            <w:tcW w:w="1000" w:type="pct"/>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扣25分</w:t>
            </w:r>
          </w:p>
        </w:tc>
        <w:tc>
          <w:tcPr>
            <w:tcW w:w="1100" w:type="pct"/>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开放平台商品品质抽检详见</w:t>
      </w:r>
      <w:r>
        <w:rPr>
          <w:rFonts w:hint="default" w:ascii="等线" w:hAnsi="等线" w:eastAsia="等线" w:cs="等线"/>
          <w:i w:val="0"/>
          <w:caps w:val="0"/>
          <w:color w:val="666666"/>
          <w:spacing w:val="0"/>
          <w:sz w:val="21"/>
          <w:szCs w:val="21"/>
          <w:u w:val="none"/>
          <w:shd w:val="clear" w:fill="FFFFFF"/>
        </w:rPr>
        <w:fldChar w:fldCharType="begin"/>
      </w:r>
      <w:r>
        <w:rPr>
          <w:rFonts w:hint="default" w:ascii="等线" w:hAnsi="等线" w:eastAsia="等线" w:cs="等线"/>
          <w:i w:val="0"/>
          <w:caps w:val="0"/>
          <w:color w:val="666666"/>
          <w:spacing w:val="0"/>
          <w:sz w:val="21"/>
          <w:szCs w:val="21"/>
          <w:u w:val="none"/>
          <w:shd w:val="clear" w:fill="FFFFFF"/>
        </w:rPr>
        <w:instrText xml:space="preserve"> HYPERLINK "https://rule.jd.com/rule/ruleDetail.action?ruleId=2490" </w:instrText>
      </w:r>
      <w:r>
        <w:rPr>
          <w:rFonts w:hint="default" w:ascii="等线" w:hAnsi="等线" w:eastAsia="等线" w:cs="等线"/>
          <w:i w:val="0"/>
          <w:caps w:val="0"/>
          <w:color w:val="666666"/>
          <w:spacing w:val="0"/>
          <w:sz w:val="21"/>
          <w:szCs w:val="21"/>
          <w:u w:val="none"/>
          <w:shd w:val="clear" w:fill="FFFFFF"/>
        </w:rPr>
        <w:fldChar w:fldCharType="separate"/>
      </w:r>
      <w:r>
        <w:rPr>
          <w:rStyle w:val="9"/>
          <w:rFonts w:hint="default" w:ascii="等线" w:hAnsi="等线" w:eastAsia="等线" w:cs="等线"/>
          <w:i w:val="0"/>
          <w:caps w:val="0"/>
          <w:color w:val="1200FF"/>
          <w:spacing w:val="0"/>
          <w:sz w:val="21"/>
          <w:szCs w:val="21"/>
          <w:u w:val="single"/>
          <w:shd w:val="clear" w:fill="FFFFFF"/>
        </w:rPr>
        <w:t>《</w:t>
      </w:r>
      <w:r>
        <w:rPr>
          <w:rStyle w:val="9"/>
          <w:rFonts w:hint="eastAsia" w:ascii="等线" w:hAnsi="等线" w:eastAsia="宋体" w:cs="等线"/>
          <w:i w:val="0"/>
          <w:caps w:val="0"/>
          <w:color w:val="1200FF"/>
          <w:spacing w:val="0"/>
          <w:sz w:val="21"/>
          <w:szCs w:val="21"/>
          <w:u w:val="single"/>
          <w:shd w:val="clear" w:fill="FFFFFF"/>
          <w:lang w:eastAsia="zh-CN"/>
        </w:rPr>
        <w:t>国融医养</w:t>
      </w:r>
      <w:r>
        <w:rPr>
          <w:rStyle w:val="9"/>
          <w:rFonts w:hint="default" w:ascii="等线" w:hAnsi="等线" w:eastAsia="等线" w:cs="等线"/>
          <w:i w:val="0"/>
          <w:caps w:val="0"/>
          <w:color w:val="1200FF"/>
          <w:spacing w:val="0"/>
          <w:sz w:val="21"/>
          <w:szCs w:val="21"/>
          <w:u w:val="single"/>
          <w:shd w:val="clear" w:fill="FFFFFF"/>
        </w:rPr>
        <w:t>开放平台商品品质抽检管理规范总则》</w:t>
      </w:r>
      <w:r>
        <w:rPr>
          <w:rFonts w:hint="default" w:ascii="等线" w:hAnsi="等线" w:eastAsia="等线" w:cs="等线"/>
          <w:i w:val="0"/>
          <w:caps w:val="0"/>
          <w:color w:val="666666"/>
          <w:spacing w:val="0"/>
          <w:sz w:val="21"/>
          <w:szCs w:val="21"/>
          <w:u w:val="none"/>
          <w:shd w:val="clear" w:fill="FFFFFF"/>
        </w:rPr>
        <w:fldChar w:fldCharType="end"/>
      </w:r>
      <w:r>
        <w:rPr>
          <w:rFonts w:hint="default" w:ascii="sans-serif" w:hAnsi="sans-serif" w:eastAsia="sans-serif" w:cs="sans-serif"/>
          <w:i w:val="0"/>
          <w:caps w:val="0"/>
          <w:color w:val="00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开放平台商品品质抽检项目及对应市场管理措施详见</w:t>
      </w:r>
      <w:r>
        <w:rPr>
          <w:rFonts w:hint="default" w:ascii="等线" w:hAnsi="等线" w:eastAsia="等线" w:cs="等线"/>
          <w:i w:val="0"/>
          <w:caps w:val="0"/>
          <w:color w:val="666666"/>
          <w:spacing w:val="0"/>
          <w:sz w:val="21"/>
          <w:szCs w:val="21"/>
          <w:u w:val="none"/>
          <w:shd w:val="clear" w:fill="FFFFFF"/>
        </w:rPr>
        <w:fldChar w:fldCharType="begin"/>
      </w:r>
      <w:r>
        <w:rPr>
          <w:rFonts w:hint="default" w:ascii="等线" w:hAnsi="等线" w:eastAsia="等线" w:cs="等线"/>
          <w:i w:val="0"/>
          <w:caps w:val="0"/>
          <w:color w:val="666666"/>
          <w:spacing w:val="0"/>
          <w:sz w:val="21"/>
          <w:szCs w:val="21"/>
          <w:u w:val="none"/>
          <w:shd w:val="clear" w:fill="FFFFFF"/>
        </w:rPr>
        <w:instrText xml:space="preserve"> HYPERLINK "https://rule.jd.com/rule/ruleDetail.action?ruleId=2492&amp;type=0&amp;btype=1" </w:instrText>
      </w:r>
      <w:r>
        <w:rPr>
          <w:rFonts w:hint="default" w:ascii="等线" w:hAnsi="等线" w:eastAsia="等线" w:cs="等线"/>
          <w:i w:val="0"/>
          <w:caps w:val="0"/>
          <w:color w:val="666666"/>
          <w:spacing w:val="0"/>
          <w:sz w:val="21"/>
          <w:szCs w:val="21"/>
          <w:u w:val="none"/>
          <w:shd w:val="clear" w:fill="FFFFFF"/>
        </w:rPr>
        <w:fldChar w:fldCharType="separate"/>
      </w:r>
      <w:r>
        <w:rPr>
          <w:rStyle w:val="9"/>
          <w:rFonts w:hint="default" w:ascii="sans-serif" w:hAnsi="sans-serif" w:eastAsia="sans-serif" w:cs="sans-serif"/>
          <w:i w:val="0"/>
          <w:caps w:val="0"/>
          <w:color w:val="0000FF"/>
          <w:spacing w:val="0"/>
          <w:sz w:val="20"/>
          <w:szCs w:val="20"/>
          <w:u w:val="none"/>
          <w:shd w:val="clear" w:fill="FFFFFF"/>
        </w:rPr>
        <w:t>《</w:t>
      </w:r>
      <w:r>
        <w:rPr>
          <w:rStyle w:val="9"/>
          <w:rFonts w:hint="eastAsia" w:ascii="sans-serif" w:hAnsi="sans-serif" w:eastAsia="宋体" w:cs="sans-serif"/>
          <w:i w:val="0"/>
          <w:caps w:val="0"/>
          <w:color w:val="0000FF"/>
          <w:spacing w:val="0"/>
          <w:sz w:val="20"/>
          <w:szCs w:val="20"/>
          <w:u w:val="none"/>
          <w:shd w:val="clear" w:fill="FFFFFF"/>
          <w:lang w:eastAsia="zh-CN"/>
        </w:rPr>
        <w:t>国融医养</w:t>
      </w:r>
      <w:r>
        <w:rPr>
          <w:rStyle w:val="9"/>
          <w:rFonts w:hint="default" w:ascii="sans-serif" w:hAnsi="sans-serif" w:eastAsia="sans-serif" w:cs="sans-serif"/>
          <w:i w:val="0"/>
          <w:caps w:val="0"/>
          <w:color w:val="0000FF"/>
          <w:spacing w:val="0"/>
          <w:sz w:val="20"/>
          <w:szCs w:val="20"/>
          <w:u w:val="none"/>
          <w:shd w:val="clear" w:fill="FFFFFF"/>
        </w:rPr>
        <w:t>开放平台商品品质抽检规范目录总则》</w:t>
      </w:r>
      <w:r>
        <w:rPr>
          <w:rFonts w:hint="default" w:ascii="等线" w:hAnsi="等线" w:eastAsia="等线" w:cs="等线"/>
          <w:i w:val="0"/>
          <w:caps w:val="0"/>
          <w:color w:val="666666"/>
          <w:spacing w:val="0"/>
          <w:sz w:val="21"/>
          <w:szCs w:val="21"/>
          <w:u w:val="none"/>
          <w:shd w:val="clear" w:fill="FFFFFF"/>
        </w:rPr>
        <w:fldChar w:fldCharType="end"/>
      </w:r>
      <w:r>
        <w:rPr>
          <w:rFonts w:hint="default" w:ascii="sans-serif" w:hAnsi="sans-serif" w:eastAsia="sans-serif" w:cs="sans-serif"/>
          <w:i w:val="0"/>
          <w:caps w:val="0"/>
          <w:color w:val="00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点击查看</w:t>
      </w:r>
      <w:r>
        <w:rPr>
          <w:rFonts w:hint="default" w:ascii="等线" w:hAnsi="等线" w:eastAsia="等线" w:cs="等线"/>
          <w:i w:val="0"/>
          <w:caps w:val="0"/>
          <w:color w:val="666666"/>
          <w:spacing w:val="0"/>
          <w:sz w:val="21"/>
          <w:szCs w:val="21"/>
          <w:u w:val="none"/>
          <w:shd w:val="clear" w:fill="FFFFFF"/>
        </w:rPr>
        <w:fldChar w:fldCharType="begin"/>
      </w:r>
      <w:r>
        <w:rPr>
          <w:rFonts w:hint="default" w:ascii="等线" w:hAnsi="等线" w:eastAsia="等线" w:cs="等线"/>
          <w:i w:val="0"/>
          <w:caps w:val="0"/>
          <w:color w:val="666666"/>
          <w:spacing w:val="0"/>
          <w:sz w:val="21"/>
          <w:szCs w:val="21"/>
          <w:u w:val="none"/>
          <w:shd w:val="clear" w:fill="FFFFFF"/>
        </w:rPr>
        <w:instrText xml:space="preserve"> HYPERLINK "https://rule.jd.com/rule/ruleDetail.action?ruleId=2754&amp;btype=1" </w:instrText>
      </w:r>
      <w:r>
        <w:rPr>
          <w:rFonts w:hint="default" w:ascii="等线" w:hAnsi="等线" w:eastAsia="等线" w:cs="等线"/>
          <w:i w:val="0"/>
          <w:caps w:val="0"/>
          <w:color w:val="666666"/>
          <w:spacing w:val="0"/>
          <w:sz w:val="21"/>
          <w:szCs w:val="21"/>
          <w:u w:val="none"/>
          <w:shd w:val="clear" w:fill="FFFFFF"/>
        </w:rPr>
        <w:fldChar w:fldCharType="separate"/>
      </w:r>
      <w:r>
        <w:rPr>
          <w:rStyle w:val="9"/>
          <w:rFonts w:hint="default" w:ascii="sans-serif" w:hAnsi="sans-serif" w:eastAsia="sans-serif" w:cs="sans-serif"/>
          <w:i w:val="0"/>
          <w:caps w:val="0"/>
          <w:color w:val="0000FF"/>
          <w:spacing w:val="0"/>
          <w:sz w:val="20"/>
          <w:szCs w:val="20"/>
          <w:u w:val="none"/>
          <w:shd w:val="clear" w:fill="FFFFFF"/>
        </w:rPr>
        <w:t>《</w:t>
      </w:r>
      <w:r>
        <w:rPr>
          <w:rStyle w:val="9"/>
          <w:rFonts w:hint="eastAsia" w:ascii="sans-serif" w:hAnsi="sans-serif" w:eastAsia="宋体" w:cs="sans-serif"/>
          <w:i w:val="0"/>
          <w:caps w:val="0"/>
          <w:color w:val="0000FF"/>
          <w:spacing w:val="0"/>
          <w:sz w:val="20"/>
          <w:szCs w:val="20"/>
          <w:u w:val="none"/>
          <w:shd w:val="clear" w:fill="FFFFFF"/>
          <w:lang w:eastAsia="zh-CN"/>
        </w:rPr>
        <w:t>国融医养</w:t>
      </w:r>
      <w:r>
        <w:rPr>
          <w:rStyle w:val="9"/>
          <w:rFonts w:hint="default" w:ascii="sans-serif" w:hAnsi="sans-serif" w:eastAsia="sans-serif" w:cs="sans-serif"/>
          <w:i w:val="0"/>
          <w:caps w:val="0"/>
          <w:color w:val="0000FF"/>
          <w:spacing w:val="0"/>
          <w:sz w:val="20"/>
          <w:szCs w:val="20"/>
          <w:u w:val="none"/>
          <w:shd w:val="clear" w:fill="FFFFFF"/>
        </w:rPr>
        <w:t>开放平台商家违规积分管理规则》</w:t>
      </w:r>
      <w:r>
        <w:rPr>
          <w:rFonts w:hint="default" w:ascii="等线" w:hAnsi="等线" w:eastAsia="等线" w:cs="等线"/>
          <w:i w:val="0"/>
          <w:caps w:val="0"/>
          <w:color w:val="666666"/>
          <w:spacing w:val="0"/>
          <w:sz w:val="21"/>
          <w:szCs w:val="21"/>
          <w:u w:val="none"/>
          <w:shd w:val="clear" w:fill="FFFFFF"/>
        </w:rPr>
        <w:fldChar w:fldCharType="end"/>
      </w:r>
      <w:r>
        <w:rPr>
          <w:rFonts w:hint="default" w:ascii="sans-serif" w:hAnsi="sans-serif" w:eastAsia="sans-serif" w:cs="sans-serif"/>
          <w:i w:val="0"/>
          <w:caps w:val="0"/>
          <w:color w:val="000000"/>
          <w:spacing w:val="0"/>
          <w:sz w:val="20"/>
          <w:szCs w:val="20"/>
          <w:shd w:val="clear" w:fill="FFFFFF"/>
        </w:rPr>
        <w:t>原文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【规则解读】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一、电气安全危险指的是哪些情形？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电气安全危险是指用电和电器设备在机械的构成和防护上不符合相关标准要求，对人身财产安全造成危害或潜在危害。包括但不限于以下情形：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（一）电器类：触及带电部件的防护，电源连接和外部软线泄漏电流和电气强度，内部布线温升、结构、机械强度，稳定性和危险等。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（二）电源电压类：适应性、抗电强度、绝缘保护、安全距离、结构检查（布线、不可拆卸零件）、静电放电、抗干扰等。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二、化学安全危险指的哪些情形？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化学安全危险指的是纺织品中的甲醛，可分解芳香胺成分超标等。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三、机械安全危险指的哪些情形？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机械安全危险指的是机械或者设备的抗压、抗弯、抗拉、抗冲击、抗疲劳等力学物理性能不合格；也包括尖点、利边、突出物、龟裂等外观损坏等。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四、产品性能指标，功效指的哪些情形？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（一）产品性能影响消费者正常使用，如产品功能缺失、产品关键性能不达标、产品性能不合格、产品运转运行异常等造成产品故障或存在潜在故障，使产品难以修复，或使产品正常使用寿命明显降低等；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（二）纺织品中水洗尺寸变化率，耐折性能，剥离强度指标等。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1.</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开放平台商家的行为，发生在本管理规则生效之日以前的，适用当时的规则。发生在本管理规则生效之日以后的，适用本规则。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2.</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可根据平台运营情况随时调整本管理规则并以“</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开放平台”公告的形式向商家公示；商家入驻</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即表示接受</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其后不时调整、颁布的管理规则。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3.商家应遵守国家法律、行政法规、部门规章等规范性文件。对任何涉嫌违反国家法律、行政法规、部门规章等规范性文件的行为，本规则已有规定的，适用于本规则。本规则尚无规定的，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有权酌情处理。但</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对商家的处理不免除其应承担的法律责任。商家在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的任何行为，应同时遵守与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及其关联公司签订的各项协议；如有违约即视为对本规则的违反。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4.本规则于2022年3月23日修订，于2022年3月30日生效。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平台规则欢迎每位商家为我们提供建议，可邮件至</w:t>
      </w:r>
      <w:r>
        <w:rPr>
          <w:rFonts w:hint="eastAsia"/>
          <w:i w:val="0"/>
          <w:caps w:val="0"/>
          <w:color w:val="333333"/>
          <w:spacing w:val="0"/>
          <w:sz w:val="24"/>
          <w:szCs w:val="24"/>
          <w:shd w:val="clear" w:fill="FFFFFF"/>
          <w:lang w:val="en-US" w:eastAsia="zh-CN"/>
        </w:rPr>
        <w:t>gryyzhkj@163.com</w:t>
      </w:r>
      <w:bookmarkStart w:id="0" w:name="_GoBack"/>
      <w:bookmarkEnd w:id="0"/>
      <w:r>
        <w:rPr>
          <w:rFonts w:hint="default" w:ascii="sans-serif" w:hAnsi="sans-serif" w:eastAsia="sans-serif" w:cs="sans-serif"/>
          <w:i w:val="0"/>
          <w:caps w:val="0"/>
          <w:color w:val="000000"/>
          <w:spacing w:val="0"/>
          <w:sz w:val="20"/>
          <w:szCs w:val="20"/>
          <w:shd w:val="clear" w:fill="FFFFFF"/>
        </w:rPr>
        <w:t>，谢谢。</w:t>
      </w:r>
    </w:p>
    <w:p>
      <w:pPr>
        <w:rPr>
          <w:rFonts w:hint="eastAsia"/>
          <w:lang w:eastAsia="zh-CN"/>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sans-serif">
    <w:altName w:val="Latha"/>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ED0"/>
    <w:rsid w:val="02CD40C3"/>
    <w:rsid w:val="034F1B51"/>
    <w:rsid w:val="055B2B36"/>
    <w:rsid w:val="062757BC"/>
    <w:rsid w:val="06ED787F"/>
    <w:rsid w:val="07713CB3"/>
    <w:rsid w:val="0A311AA6"/>
    <w:rsid w:val="18247F75"/>
    <w:rsid w:val="21283DAF"/>
    <w:rsid w:val="2358164F"/>
    <w:rsid w:val="23653255"/>
    <w:rsid w:val="23EB78CD"/>
    <w:rsid w:val="23F42887"/>
    <w:rsid w:val="2E483EAC"/>
    <w:rsid w:val="302A7DBD"/>
    <w:rsid w:val="30B14ED0"/>
    <w:rsid w:val="323A14A4"/>
    <w:rsid w:val="346501C0"/>
    <w:rsid w:val="39440F56"/>
    <w:rsid w:val="3A187E65"/>
    <w:rsid w:val="3BFF6F0C"/>
    <w:rsid w:val="3CB404B1"/>
    <w:rsid w:val="42AF4F20"/>
    <w:rsid w:val="436C3193"/>
    <w:rsid w:val="43C35B92"/>
    <w:rsid w:val="46CE3532"/>
    <w:rsid w:val="46F160F4"/>
    <w:rsid w:val="475A266A"/>
    <w:rsid w:val="47604E2A"/>
    <w:rsid w:val="490B4BC0"/>
    <w:rsid w:val="49F562C9"/>
    <w:rsid w:val="50D40DD8"/>
    <w:rsid w:val="540D1E80"/>
    <w:rsid w:val="59347C0B"/>
    <w:rsid w:val="595E6B62"/>
    <w:rsid w:val="5F880115"/>
    <w:rsid w:val="61CC2905"/>
    <w:rsid w:val="62614EEE"/>
    <w:rsid w:val="6395125C"/>
    <w:rsid w:val="684F4A7C"/>
    <w:rsid w:val="6AD84A22"/>
    <w:rsid w:val="6F6D128B"/>
    <w:rsid w:val="70C14DED"/>
    <w:rsid w:val="71192B30"/>
    <w:rsid w:val="71A63BA9"/>
    <w:rsid w:val="71B33CD0"/>
    <w:rsid w:val="71B7589B"/>
    <w:rsid w:val="76AC2490"/>
    <w:rsid w:val="76F20B9F"/>
    <w:rsid w:val="78FF0702"/>
    <w:rsid w:val="7AA8670D"/>
    <w:rsid w:val="7F204BF2"/>
    <w:rsid w:val="7F6F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2022-09-01T07:18:00Z</dcterms:created>
  <dc:creator>123</dc:creator>
  <cp:lastModifiedBy>123</cp:lastModifiedBy>
  <dcterms:modified xsi:type="dcterms:W3CDTF">2022-09-14T06:15:24Z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